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E41933">
      <w:pPr>
        <w:pStyle w:val="Heading1"/>
      </w:pPr>
      <w:r>
        <w:t xml:space="preserve">resistances des materiaux </w:t>
      </w:r>
      <w:r>
        <w:br/>
        <w:t>(90 periodes)</w:t>
      </w:r>
    </w:p>
    <w:p w:rsidR="00317EF6" w:rsidRPr="007C7CD2" w:rsidRDefault="00317EF6" w:rsidP="00E41933">
      <w:pPr>
        <w:pStyle w:val="Heading2"/>
        <w:rPr>
          <w:rFonts w:ascii="Times New Roman" w:hAnsi="Times New Roman" w:cs="Times New Roman"/>
          <w:u w:val="single"/>
          <w:lang w:eastAsia="fr-FR"/>
        </w:rPr>
      </w:pPr>
      <w:r w:rsidRPr="007C7CD2">
        <w:rPr>
          <w:rFonts w:ascii="Times New Roman" w:hAnsi="Times New Roman" w:cs="Times New Roman"/>
          <w:u w:val="single"/>
          <w:lang w:eastAsia="fr-FR"/>
        </w:rPr>
        <w:t>Contenu</w:t>
      </w:r>
    </w:p>
    <w:p w:rsidR="00317EF6" w:rsidRPr="007C7CD2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C7CD2">
        <w:rPr>
          <w:rFonts w:ascii="Times New Roman" w:hAnsi="Times New Roman" w:cs="Times New Roman"/>
          <w:lang w:val="fr-FR" w:eastAsia="fr-FR"/>
        </w:rPr>
        <w:t>Chapitre 1</w:t>
      </w:r>
    </w:p>
    <w:p w:rsidR="00317EF6" w:rsidRPr="007C7CD2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C7CD2">
        <w:rPr>
          <w:rFonts w:ascii="Times New Roman" w:hAnsi="Times New Roman" w:cs="Times New Roman"/>
          <w:lang w:val="fr-FR" w:eastAsia="fr-FR"/>
        </w:rPr>
        <w:t>Généralités sur la résistance des matériaux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</w:t>
      </w:r>
      <w:r>
        <w:rPr>
          <w:rFonts w:ascii="Arial" w:hAnsi="Arial"/>
          <w:sz w:val="22"/>
          <w:szCs w:val="26"/>
          <w:lang w:val="fr-FR" w:eastAsia="fr-FR"/>
        </w:rPr>
        <w:tab/>
        <w:t>Objectifs et hypothèses de la R.D.M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1.2 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Efforts  extérieures et efforts internes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1.3  Pièces étudiées en RDM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1.4 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Détermination des efforts internes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1.5 </w:t>
      </w:r>
      <w:r>
        <w:rPr>
          <w:rFonts w:ascii="Arial" w:hAnsi="Arial"/>
          <w:sz w:val="22"/>
          <w:szCs w:val="26"/>
          <w:lang w:val="fr-FR" w:eastAsia="fr-FR"/>
        </w:rPr>
        <w:tab/>
        <w:t>Contraintes normales et tangentielles (cisaillement)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1.6 </w:t>
      </w:r>
      <w:r>
        <w:rPr>
          <w:rFonts w:ascii="Arial" w:hAnsi="Arial"/>
          <w:sz w:val="22"/>
          <w:szCs w:val="26"/>
          <w:lang w:val="fr-FR" w:eastAsia="fr-FR"/>
        </w:rPr>
        <w:tab/>
        <w:t>Les déformations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1.7  Essai de traction - loi de HOOK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1.8 </w:t>
      </w:r>
      <w:r>
        <w:rPr>
          <w:rFonts w:ascii="Arial" w:hAnsi="Arial"/>
          <w:sz w:val="22"/>
          <w:szCs w:val="26"/>
          <w:lang w:val="fr-FR" w:eastAsia="fr-FR"/>
        </w:rPr>
        <w:tab/>
        <w:t>Coefficient de POISSON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1.9 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Relation entre les contraintes et les déformations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1.10  Etats de contraintes. Loi de HOOK généralisée. Cercle de MOHR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1.11  Calcul a la résistance. Coefficient de sécurité </w:t>
      </w:r>
    </w:p>
    <w:p w:rsidR="00317EF6" w:rsidRPr="007C7CD2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C7CD2">
        <w:rPr>
          <w:rFonts w:ascii="Times New Roman" w:hAnsi="Times New Roman" w:cs="Times New Roman"/>
          <w:lang w:val="fr-FR" w:eastAsia="fr-FR"/>
        </w:rPr>
        <w:t>Chapitre 2</w:t>
      </w:r>
    </w:p>
    <w:p w:rsidR="00317EF6" w:rsidRPr="007C7CD2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C7CD2">
        <w:rPr>
          <w:rFonts w:ascii="Times New Roman" w:hAnsi="Times New Roman" w:cs="Times New Roman"/>
          <w:lang w:val="fr-FR" w:eastAsia="fr-FR"/>
        </w:rPr>
        <w:t>Traction et compression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>
        <w:rPr>
          <w:rFonts w:ascii="Arial" w:hAnsi="Arial"/>
          <w:sz w:val="22"/>
          <w:szCs w:val="26"/>
          <w:lang w:val="fr-FR" w:eastAsia="fr-FR"/>
        </w:rPr>
        <w:tab/>
        <w:t>Généralités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Détermination des efforts internes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</w:t>
      </w:r>
      <w:r>
        <w:rPr>
          <w:rFonts w:ascii="Arial" w:hAnsi="Arial"/>
          <w:sz w:val="22"/>
          <w:szCs w:val="26"/>
          <w:lang w:val="fr-FR" w:eastAsia="fr-FR"/>
        </w:rPr>
        <w:tab/>
        <w:t>Détermination des contraintes normales et des déformations linéaires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2.4</w:t>
      </w:r>
      <w:r>
        <w:rPr>
          <w:rFonts w:ascii="Arial" w:hAnsi="Arial"/>
          <w:sz w:val="22"/>
          <w:szCs w:val="26"/>
          <w:lang w:val="fr-FR" w:eastAsia="fr-FR"/>
        </w:rPr>
        <w:tab/>
        <w:t>Calcul a la  résistance - calcul des paramètres de la section dangereuse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2.5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Calcul a la  rigidité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2.6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Energie potentielle de déformation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2.7</w:t>
      </w:r>
      <w:r>
        <w:rPr>
          <w:rFonts w:ascii="Arial" w:hAnsi="Arial"/>
          <w:sz w:val="22"/>
          <w:szCs w:val="26"/>
          <w:lang w:val="fr-FR" w:eastAsia="fr-FR"/>
        </w:rPr>
        <w:tab/>
        <w:t>Théorème de MENABREA – calcul des barres  hyperstatiques</w:t>
      </w:r>
    </w:p>
    <w:p w:rsidR="00317EF6" w:rsidRPr="007C7CD2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C7CD2">
        <w:rPr>
          <w:rFonts w:ascii="Times New Roman" w:hAnsi="Times New Roman" w:cs="Times New Roman"/>
          <w:lang w:val="fr-FR" w:eastAsia="fr-FR"/>
        </w:rPr>
        <w:t>Chapitre 3</w:t>
      </w:r>
    </w:p>
    <w:p w:rsidR="00317EF6" w:rsidRPr="007C7CD2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C7CD2">
        <w:rPr>
          <w:rFonts w:ascii="Times New Roman" w:hAnsi="Times New Roman" w:cs="Times New Roman"/>
          <w:lang w:val="fr-FR" w:eastAsia="fr-FR"/>
        </w:rPr>
        <w:t>Cisaillement</w:t>
      </w:r>
    </w:p>
    <w:p w:rsidR="00317EF6" w:rsidRPr="00A50E20" w:rsidRDefault="00317EF6" w:rsidP="00E41933">
      <w:pPr>
        <w:pStyle w:val="Title"/>
        <w:rPr>
          <w:lang w:val="fr-FR" w:eastAsia="fr-FR"/>
        </w:rPr>
      </w:pP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</w:t>
      </w:r>
      <w:r>
        <w:rPr>
          <w:rFonts w:ascii="Arial" w:hAnsi="Arial"/>
          <w:sz w:val="22"/>
          <w:szCs w:val="26"/>
          <w:lang w:val="fr-FR" w:eastAsia="fr-FR"/>
        </w:rPr>
        <w:tab/>
        <w:t>Généralités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</w:t>
      </w:r>
      <w:r>
        <w:rPr>
          <w:rFonts w:ascii="Arial" w:hAnsi="Arial"/>
          <w:sz w:val="22"/>
          <w:szCs w:val="26"/>
          <w:lang w:val="fr-FR" w:eastAsia="fr-FR"/>
        </w:rPr>
        <w:tab/>
        <w:t>Contrainte de cisaillement et déformation angulaire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3.3</w:t>
      </w:r>
      <w:r>
        <w:rPr>
          <w:rFonts w:ascii="Arial" w:hAnsi="Arial"/>
          <w:sz w:val="22"/>
          <w:szCs w:val="26"/>
          <w:lang w:val="fr-FR" w:eastAsia="fr-FR"/>
        </w:rPr>
        <w:tab/>
        <w:t>Energie potentielle de déformation dans le cas de cisaillement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3.4</w:t>
      </w:r>
      <w:r>
        <w:rPr>
          <w:rFonts w:ascii="Arial" w:hAnsi="Arial"/>
          <w:sz w:val="22"/>
          <w:szCs w:val="26"/>
          <w:lang w:val="fr-FR" w:eastAsia="fr-FR"/>
        </w:rPr>
        <w:tab/>
        <w:t>Calcul pratique au cisaillement - calcul des assemblages par rivetage et par soudage</w:t>
      </w:r>
    </w:p>
    <w:p w:rsidR="00317EF6" w:rsidRPr="007C7CD2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C7CD2">
        <w:rPr>
          <w:rFonts w:ascii="Times New Roman" w:hAnsi="Times New Roman" w:cs="Times New Roman"/>
          <w:lang w:val="fr-FR" w:eastAsia="fr-FR"/>
        </w:rPr>
        <w:t>Chapitre 4</w:t>
      </w:r>
    </w:p>
    <w:p w:rsidR="00317EF6" w:rsidRPr="007C7CD2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C7CD2">
        <w:rPr>
          <w:rFonts w:ascii="Times New Roman" w:hAnsi="Times New Roman" w:cs="Times New Roman"/>
          <w:lang w:val="fr-FR" w:eastAsia="fr-FR"/>
        </w:rPr>
        <w:t>Caractéristiques géométriques d’une section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Moment statique - détermination de la position du centre de gravite d’une section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</w:t>
      </w:r>
      <w:r>
        <w:rPr>
          <w:rFonts w:ascii="Arial" w:hAnsi="Arial"/>
          <w:sz w:val="22"/>
          <w:szCs w:val="26"/>
          <w:lang w:val="fr-FR" w:eastAsia="fr-FR"/>
        </w:rPr>
        <w:tab/>
        <w:t>Moments d’inertie axiale, polaire et centrale d’une section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</w:t>
      </w:r>
      <w:r>
        <w:rPr>
          <w:rFonts w:ascii="Arial" w:hAnsi="Arial"/>
          <w:sz w:val="22"/>
          <w:szCs w:val="26"/>
          <w:lang w:val="fr-FR" w:eastAsia="fr-FR"/>
        </w:rPr>
        <w:tab/>
        <w:t>Translation des axes. Théorème de HIGGENHS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4.4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Rotation des axes Moments d’inertie maximaux 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4.5  Sections profilées ( L , U , H )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lastRenderedPageBreak/>
        <w:t xml:space="preserve">Chapitre 5 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>Torsion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</w:t>
      </w:r>
      <w:r>
        <w:rPr>
          <w:rFonts w:ascii="Arial" w:hAnsi="Arial"/>
          <w:sz w:val="22"/>
          <w:szCs w:val="26"/>
          <w:lang w:val="fr-FR" w:eastAsia="fr-FR"/>
        </w:rPr>
        <w:tab/>
        <w:t>Généralités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Détermination des efforts internes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</w:t>
      </w:r>
      <w:r>
        <w:rPr>
          <w:rFonts w:ascii="Arial" w:hAnsi="Arial"/>
          <w:sz w:val="22"/>
          <w:szCs w:val="26"/>
          <w:lang w:val="fr-FR" w:eastAsia="fr-FR"/>
        </w:rPr>
        <w:tab/>
        <w:t>Détermination des contraintes de cisaillement et des déformations angulaires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Calcul des arbres de sections cylindriques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5.5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Energie potentielle de déformation.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</w:t>
      </w:r>
      <w:r>
        <w:rPr>
          <w:rFonts w:ascii="Arial" w:hAnsi="Arial"/>
          <w:sz w:val="22"/>
          <w:szCs w:val="26"/>
          <w:lang w:val="fr-FR" w:eastAsia="fr-FR"/>
        </w:rPr>
        <w:tab/>
        <w:t>Torsion des arbres de section non cylindrique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>Chapitre 6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>Flexion simple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</w:t>
      </w:r>
      <w:r>
        <w:rPr>
          <w:rFonts w:ascii="Arial" w:hAnsi="Arial"/>
          <w:sz w:val="22"/>
          <w:szCs w:val="26"/>
          <w:lang w:val="fr-FR" w:eastAsia="fr-FR"/>
        </w:rPr>
        <w:tab/>
        <w:t>Généralités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Détermination des efforts tranchants et des moments fléchissant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</w:t>
      </w:r>
      <w:r>
        <w:rPr>
          <w:rFonts w:ascii="Arial" w:hAnsi="Arial"/>
          <w:sz w:val="22"/>
          <w:szCs w:val="26"/>
          <w:lang w:val="fr-FR" w:eastAsia="fr-FR"/>
        </w:rPr>
        <w:tab/>
        <w:t>Contraintes normale et de cisaillement dans la section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6.4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Calcul des poutres de sections simples et profilées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6.5</w:t>
      </w:r>
      <w:r>
        <w:rPr>
          <w:rFonts w:ascii="Arial" w:hAnsi="Arial"/>
          <w:sz w:val="22"/>
          <w:szCs w:val="26"/>
          <w:lang w:val="fr-FR" w:eastAsia="fr-FR"/>
        </w:rPr>
        <w:tab/>
        <w:t>Déformation (flèche ) d’une poutre. Equation différentielle de la flèche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6.6  Energie potentielle de déformation. Détermination de la flèche par l’intégral MOHR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6.7  Méthode grapho-analytique pour la Détermination de la flèche. Théorème de VERICHAGINE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6.8  Poutre hyperstatique. Ordre d’hyperstaticite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6.9  Calcul des poutres hyperstatiques par la méthode :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6.9.1 Des déformations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6.9.2 Des forces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6.9.3 Des travaux virtuels 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 xml:space="preserve">Chapitre 7 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 xml:space="preserve">Flambage </w:t>
      </w:r>
    </w:p>
    <w:p w:rsidR="00317EF6" w:rsidRPr="00A50E20" w:rsidRDefault="00317EF6" w:rsidP="00E41933">
      <w:pPr>
        <w:pStyle w:val="Title"/>
        <w:rPr>
          <w:lang w:val="fr-FR" w:eastAsia="fr-FR"/>
        </w:rPr>
      </w:pPr>
      <w:r w:rsidRPr="00A50E20">
        <w:rPr>
          <w:lang w:val="fr-FR" w:eastAsia="fr-FR"/>
        </w:rPr>
        <w:t xml:space="preserve">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71 Généralités.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 Force critique</w:t>
      </w:r>
      <w:r w:rsidRPr="00DC003F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d’EULER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7.4 Elancement d’une tige. Limite d'application de la formule  d’EULER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7.5 Contrainte critique.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7.6 Calcul pratique des pièces soumises au flambage ( Vérin , Vis …. )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 xml:space="preserve">Chapitre 8 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>Hypothèses de la résistance</w:t>
      </w:r>
    </w:p>
    <w:p w:rsidR="00317EF6" w:rsidRDefault="00317EF6" w:rsidP="00E41933">
      <w:pPr>
        <w:pStyle w:val="Title"/>
        <w:rPr>
          <w:lang w:val="fr-FR" w:eastAsia="fr-FR"/>
        </w:rPr>
      </w:pP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8.1 Généralité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8.2 Contraintes dans une section oblique à l’état de contraintes uniaxial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 Contraintes dans une section oblique à l’état de contraintes biaxial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8.4 Surface principale et contraintes maximales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8.5 Les hypothèses de la résistance :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 8.5.1 Hypothèse des contraintes normales maximales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 8.5.2 Hypothèse des contraintes de cisaillement maximales, hypothèse de TRESCA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 8.5.3 Hypothèse énergétique de résistante. Hypothèse de VON MISE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 8.5.4 Autres hypothèses de résistance. Hypothèse de MORR 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lastRenderedPageBreak/>
        <w:t>Chapitre 9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 xml:space="preserve">Sollicitation composée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 Généralités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 Flexion composée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3.2.1 Contrainte totale 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3.2.2 Axe neutre et contrainte maximale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3.2.3 Calcul des poutres soumises à la flexion composée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3.3 Flexion + traction (compression) </w:t>
      </w:r>
      <w:r>
        <w:rPr>
          <w:rFonts w:ascii="Arial" w:hAnsi="Arial"/>
          <w:sz w:val="22"/>
          <w:szCs w:val="22"/>
          <w:lang w:val="fr-FR"/>
        </w:rPr>
        <w:sym w:font="Symbol" w:char="F02D"/>
      </w:r>
      <w:r>
        <w:rPr>
          <w:rFonts w:ascii="Arial" w:hAnsi="Arial"/>
          <w:sz w:val="22"/>
          <w:szCs w:val="26"/>
          <w:lang w:val="fr-FR" w:eastAsia="fr-FR"/>
        </w:rPr>
        <w:t xml:space="preserve"> Traction excentrée 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3.3.1 Contrainte totale 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3.3.2 Axe et noyau neutre 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3.3.3 Calcul des pièces soumises à la traction excentrée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3.4 Torsion + cisaillement. Calcul du ressort à petit pas d’hélice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3.4.1 Contrainte totale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3.4.2 Calcul d'un ressort à petit pas d’hélice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 Flexion composée + torsion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3.5.1 Généralités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3.5.2 Contrainte totale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3.5.3 Utilisation des hypothèses de la résistance dans le calcul </w:t>
      </w:r>
    </w:p>
    <w:p w:rsidR="00317EF6" w:rsidRDefault="00317EF6" w:rsidP="00E41933">
      <w:pPr>
        <w:ind w:left="42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3.5.4 Calcul des arbres dans les transmissions de puissance mécaniques 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 xml:space="preserve">Chapitre 10 </w:t>
      </w:r>
    </w:p>
    <w:p w:rsidR="00317EF6" w:rsidRPr="0072464C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72464C">
        <w:rPr>
          <w:rFonts w:ascii="Times New Roman" w:hAnsi="Times New Roman" w:cs="Times New Roman"/>
          <w:lang w:val="fr-FR" w:eastAsia="fr-FR"/>
        </w:rPr>
        <w:t>Charge dynamique - Calcul aux choc et vibrations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10.1 Généralites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10.2 Les charges dynamiques et leurs caractéristiques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10.3 Coefficient de la charge dynamique. Contrainte dynamique</w:t>
      </w:r>
    </w:p>
    <w:p w:rsidR="00317EF6" w:rsidRDefault="00317EF6" w:rsidP="00E41933">
      <w:pPr>
        <w:ind w:left="864" w:hanging="86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10.4 Calcul des pièces soumises au choc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10.5 Calcul des pièces soumises aux vibrations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10.6 Calcul a la résonnance </w:t>
      </w:r>
    </w:p>
    <w:p w:rsidR="00317EF6" w:rsidRDefault="00317EF6" w:rsidP="00E41933">
      <w:pPr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  <w:bookmarkStart w:id="0" w:name="_GoBack"/>
      <w:bookmarkEnd w:id="0"/>
    </w:p>
    <w:sectPr w:rsidR="00317EF6" w:rsidSect="00787B0E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87B0E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D182B-5664-4799-9491-D77B6C3D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174</cp:revision>
  <cp:lastPrinted>2012-09-25T05:56:00Z</cp:lastPrinted>
  <dcterms:created xsi:type="dcterms:W3CDTF">2012-08-24T05:04:00Z</dcterms:created>
  <dcterms:modified xsi:type="dcterms:W3CDTF">2019-07-24T07:04:00Z</dcterms:modified>
</cp:coreProperties>
</file>